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F" w:rsidRDefault="00DA50C3">
      <w:pPr>
        <w:pStyle w:val="Heading2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СОЮЗ «ТОРГОВО-ПРОМЫШЛЕННАЯ ПАЛАТА ВОРОНЕЖСКОЙ ОБЛАСТИ»</w:t>
      </w:r>
    </w:p>
    <w:p w:rsidR="00B12F4F" w:rsidRDefault="00DA50C3">
      <w:pPr>
        <w:ind w:left="-103" w:right="-175"/>
        <w:jc w:val="center"/>
        <w:rPr>
          <w:sz w:val="20"/>
          <w:szCs w:val="20"/>
        </w:rPr>
      </w:pPr>
      <w:r>
        <w:t>Испытательная лаборатория</w:t>
      </w:r>
    </w:p>
    <w:p w:rsidR="00B12F4F" w:rsidRDefault="00DA50C3">
      <w:pPr>
        <w:ind w:left="-103" w:right="-175"/>
        <w:jc w:val="center"/>
      </w:pPr>
      <w:r>
        <w:t>394030 Россия,  г. Воронеж, ул. Землячки, 1</w:t>
      </w:r>
    </w:p>
    <w:p w:rsidR="00B12F4F" w:rsidRDefault="00DA50C3">
      <w:pPr>
        <w:ind w:left="-103" w:right="-175"/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.: (473) 223-16-84, 223-87-39, 202-03-55 E-mail: </w:t>
      </w:r>
      <w:hyperlink r:id="rId6" w:history="1">
        <w:r>
          <w:rPr>
            <w:rStyle w:val="af2"/>
            <w:color w:val="auto"/>
            <w:lang w:val="en-US"/>
          </w:rPr>
          <w:t>labvk@mail.ru</w:t>
        </w:r>
      </w:hyperlink>
    </w:p>
    <w:p w:rsidR="00B12F4F" w:rsidRDefault="00DA50C3">
      <w:pPr>
        <w:pStyle w:val="af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Аттестат аккредитации: №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>А.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.22ЭП12 от 09.11.2015г.</w:t>
      </w:r>
    </w:p>
    <w:p w:rsidR="00B12F4F" w:rsidRDefault="00B12F4F">
      <w:pPr>
        <w:pStyle w:val="af0"/>
        <w:jc w:val="center"/>
        <w:rPr>
          <w:sz w:val="20"/>
          <w:szCs w:val="20"/>
        </w:rPr>
      </w:pPr>
    </w:p>
    <w:p w:rsidR="00B12F4F" w:rsidRDefault="00DA50C3">
      <w:pPr>
        <w:ind w:firstLine="360"/>
        <w:jc w:val="center"/>
        <w:rPr>
          <w:b/>
          <w:bCs/>
          <w:sz w:val="20"/>
          <w:szCs w:val="20"/>
        </w:rPr>
      </w:pPr>
      <w:r>
        <w:rPr>
          <w:b/>
          <w:bCs/>
        </w:rPr>
        <w:t>ПРЕЙСКУРАНТ (СТОИМОСТЬ УСЛУГ)</w:t>
      </w:r>
    </w:p>
    <w:p w:rsidR="00B12F4F" w:rsidRDefault="00B12F4F">
      <w:pPr>
        <w:pStyle w:val="af0"/>
        <w:jc w:val="center"/>
      </w:pPr>
    </w:p>
    <w:tbl>
      <w:tblPr>
        <w:tblW w:w="11959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248"/>
        <w:gridCol w:w="1417"/>
        <w:gridCol w:w="1248"/>
      </w:tblGrid>
      <w:tr w:rsidR="00B12F4F">
        <w:trPr>
          <w:gridAfter w:val="1"/>
          <w:wAfter w:w="1248" w:type="dxa"/>
          <w:trHeight w:val="748"/>
        </w:trPr>
        <w:tc>
          <w:tcPr>
            <w:tcW w:w="8046" w:type="dxa"/>
            <w:noWrap/>
            <w:vAlign w:val="center"/>
          </w:tcPr>
          <w:p w:rsidR="00B12F4F" w:rsidRDefault="00DA50C3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248" w:type="dxa"/>
            <w:noWrap/>
            <w:vAlign w:val="center"/>
          </w:tcPr>
          <w:p w:rsidR="00B12F4F" w:rsidRDefault="00DA50C3">
            <w:pPr>
              <w:ind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noWrap/>
            <w:vAlign w:val="center"/>
          </w:tcPr>
          <w:p w:rsidR="00B12F4F" w:rsidRDefault="00DA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Цена за единицу измерения без НДС (руб.)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готовой продукции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кондитерских,кремовых изделий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мясных полуфабрикатов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рыбы и рыбных изделий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масложировой продукции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соковой продукции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пастеризованного молока и молочных продуктов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кисломолочных продуктов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безалкогольных напитков, пива, напитков брожения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питьевой воды централизованного водоснабжения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питьевой воды нецентрализованного водоснабжения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Микробиологические исследования питьевой воды бутилированной, минеральной, лечебно-столовой.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B12F4F">
        <w:trPr>
          <w:cantSplit/>
          <w:trHeight w:val="397"/>
        </w:trPr>
        <w:tc>
          <w:tcPr>
            <w:tcW w:w="107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12F4F" w:rsidRDefault="00DA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Микробиологические исследования пищевых продуктов по показателям</w:t>
            </w:r>
          </w:p>
        </w:tc>
        <w:tc>
          <w:tcPr>
            <w:tcW w:w="124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noWrap/>
          </w:tcPr>
          <w:p w:rsidR="00B12F4F" w:rsidRDefault="00B12F4F"/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КМАФАнМ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БГКП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патогенных м/о (в т.ч сальмонеллы)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L. monocytogenes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сульфитредуцирующихклостридий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S. aureus</w:t>
            </w:r>
            <w:r>
              <w:rPr>
                <w:color w:val="000000"/>
                <w:sz w:val="20"/>
                <w:szCs w:val="20"/>
              </w:rPr>
              <w:t xml:space="preserve"> (патогенный стафилококк)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количества дрожжей, плесневых грибов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Baciluscereus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Pseudomonasaeruginosa (Синегнойная палочка)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энтерококков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E.coli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бактерии рода Протея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молочнокислых микроорганизмов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V. parahaemol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color w:val="000000"/>
                <w:sz w:val="20"/>
                <w:szCs w:val="20"/>
              </w:rPr>
              <w:t>ticus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</w:t>
            </w:r>
            <w:r>
              <w:rPr>
                <w:color w:val="000000"/>
                <w:sz w:val="20"/>
                <w:szCs w:val="20"/>
              </w:rPr>
              <w:t>бифидобактерий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соматических клеток в сыром молоке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Исследование на промышленную стерильность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Определениеколифагов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B12F4F">
        <w:trPr>
          <w:gridAfter w:val="1"/>
          <w:wAfter w:w="1248" w:type="dxa"/>
          <w:cantSplit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Микробиологическое исследование смывов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БГКП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</w:t>
            </w:r>
            <w:r>
              <w:rPr>
                <w:color w:val="000000"/>
                <w:sz w:val="20"/>
                <w:szCs w:val="20"/>
              </w:rPr>
              <w:t>КМАФАнМ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S. aureus (патогенный стафилококк)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патогенных энтеробактерий ( в т.ч сальмонеллы)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иерсиний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бактерий рода Протей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листерий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бактерий семейства Enterobacteriaceae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Смывные воды с бутылок и пробок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  <w:cantSplit/>
          <w:trHeight w:val="73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Микробиологические исследования воздуха и стен холодильных камер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зараженности стен холодильных камер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Определение </w:t>
            </w:r>
            <w:r>
              <w:rPr>
                <w:color w:val="000000"/>
                <w:sz w:val="20"/>
                <w:szCs w:val="20"/>
              </w:rPr>
              <w:t>зараженности воздуха холодильных камер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исследование воздуха на КМАФАнМ (кроме холодильных камер)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исследование воздуха на дрожжи и плесени (кроме холодильных камер)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исследование смыва на дрож</w:t>
            </w:r>
            <w:r>
              <w:rPr>
                <w:sz w:val="20"/>
                <w:szCs w:val="20"/>
              </w:rPr>
              <w:t>жи и плесени (кроме холодильных камер)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  <w:cantSplit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Физико-химические исследования продукции общественного питания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крема по показателям: массовая доля сахара в водной фазе крема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качества фритюрного жира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оличественное определение кофе-порошка в напитке из натурального кофе,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массы изделия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  <w:trHeight w:val="230"/>
        </w:trPr>
        <w:tc>
          <w:tcPr>
            <w:tcW w:w="8046" w:type="dxa"/>
            <w:vMerge w:val="restart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составных частей   (м.д. фарша, начинки) </w:t>
            </w:r>
          </w:p>
        </w:tc>
        <w:tc>
          <w:tcPr>
            <w:tcW w:w="1248" w:type="dxa"/>
            <w:vMerge w:val="restart"/>
            <w:noWrap/>
          </w:tcPr>
          <w:p w:rsidR="00B12F4F" w:rsidRDefault="00B1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дезинфицирующих средств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пределениекислотности титриметрическим методом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витамина С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влаги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жира в пищевых продуктах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>массовой доли поваренной соли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сухих веществ по рефрактометру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Органолептическое исследование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консерванта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содержания белков, жиров и углеводов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асчет содержания сухих веществ, содержания жира, сахара по рецептуре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наполнителя в мясных натуральных рубленых изделиях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реакция)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 доли хлеба с учетом панировочных сухарей 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п/ф из рубленог</w:t>
            </w:r>
            <w:r>
              <w:rPr>
                <w:sz w:val="20"/>
                <w:szCs w:val="20"/>
              </w:rPr>
              <w:t>о мяса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тепловой обработки мясных и рыбных кулинарных изделий (проба на пероксидазу и фосфатазу, качественная реакция)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B12F4F">
            <w:pPr>
              <w:jc w:val="center"/>
              <w:rPr>
                <w:b/>
              </w:rPr>
            </w:pPr>
          </w:p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Стоимость физико-химических исследований алкогольной, безалкогольной продукции, воды</w:t>
            </w:r>
          </w:p>
        </w:tc>
      </w:tr>
      <w:tr w:rsidR="00B12F4F">
        <w:trPr>
          <w:gridAfter w:val="1"/>
          <w:wAfter w:w="1248" w:type="dxa"/>
          <w:trHeight w:val="624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анализов вин и виноматериалов ликерных, столовых, шампанских,</w:t>
            </w:r>
          </w:p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коньяков, пива, безалкогольных напитков и т.д.</w:t>
            </w:r>
          </w:p>
        </w:tc>
      </w:tr>
      <w:tr w:rsidR="00B12F4F">
        <w:trPr>
          <w:gridAfter w:val="1"/>
          <w:wAfter w:w="1248" w:type="dxa"/>
          <w:trHeight w:val="276"/>
        </w:trPr>
        <w:tc>
          <w:tcPr>
            <w:tcW w:w="8046" w:type="dxa"/>
            <w:vMerge w:val="restart"/>
            <w:noWrap/>
          </w:tcPr>
          <w:p w:rsidR="00B12F4F" w:rsidRDefault="00DA50C3">
            <w:r>
              <w:rPr>
                <w:sz w:val="20"/>
                <w:szCs w:val="20"/>
              </w:rPr>
              <w:t>Определениеобъемной доли этилового спирта в пиве</w:t>
            </w:r>
          </w:p>
        </w:tc>
        <w:tc>
          <w:tcPr>
            <w:tcW w:w="1248" w:type="dxa"/>
            <w:vMerge w:val="restart"/>
            <w:noWrap/>
          </w:tcPr>
          <w:p w:rsidR="00B12F4F" w:rsidRDefault="00B1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noWrap/>
          </w:tcPr>
          <w:p w:rsidR="00B12F4F" w:rsidRDefault="00DA50C3">
            <w:pPr>
              <w:tabs>
                <w:tab w:val="left" w:pos="42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Определениеобъемной доли этилового спирта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tabs>
                <w:tab w:val="left" w:pos="42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массовой концентрации сахаров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 концентрации титруемых кислот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летучих кислот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экстракта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массовой концентрации общего диоксида серы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лимонной кислоты методом капиллярного электрофореза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 консерванта методом ВЭЖХ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давления двуокиси углерода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железа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метилового спирта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высших спиртов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альдегидов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средних эфиров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щелочности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наличия фурфурола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уксусного альдегида, сивушного масла,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сложных эфиров, объемной доли метилового спирта методом газовой хроматографии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подлинности водок методом газовой хроматографии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пробы на окисляемость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пробы на чистоту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цвета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стойкости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Пенообразование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сухих веществ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12F4F" w:rsidRDefault="00B12F4F">
            <w:pPr>
              <w:jc w:val="center"/>
              <w:rPr>
                <w:sz w:val="20"/>
                <w:szCs w:val="20"/>
              </w:rPr>
            </w:pPr>
          </w:p>
        </w:tc>
      </w:tr>
      <w:tr w:rsidR="00B12F4F">
        <w:trPr>
          <w:gridAfter w:val="1"/>
          <w:wAfter w:w="1248" w:type="dxa"/>
          <w:trHeight w:val="56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Проведение анализов минеральной воды промышленного розлива (в т.ч. искусственно минерализованные).</w:t>
            </w:r>
          </w:p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Вода питьевая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органолептических показателей (запах,привкус)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  <w:trHeight w:val="230"/>
        </w:trPr>
        <w:tc>
          <w:tcPr>
            <w:tcW w:w="8046" w:type="dxa"/>
            <w:vMerge w:val="restart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органолептических показателей (цветность)</w:t>
            </w:r>
          </w:p>
        </w:tc>
        <w:tc>
          <w:tcPr>
            <w:tcW w:w="1248" w:type="dxa"/>
            <w:vMerge w:val="restart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Merge w:val="restart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  <w:trHeight w:val="230"/>
        </w:trPr>
        <w:tc>
          <w:tcPr>
            <w:tcW w:w="8046" w:type="dxa"/>
            <w:vMerge w:val="restart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органолептических показателей (мутность)</w:t>
            </w:r>
          </w:p>
        </w:tc>
        <w:tc>
          <w:tcPr>
            <w:tcW w:w="1248" w:type="dxa"/>
            <w:vMerge w:val="restart"/>
            <w:noWrap/>
          </w:tcPr>
          <w:p w:rsidR="00B12F4F" w:rsidRDefault="00B1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полноты налива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массовой концентрации двуокиси углерода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Определениеперманганатной окисляемости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гидрокарбонат-ионов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Определениемассовой концентрации катионов: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 кальция, магния, натрия, калия, аммония, лития</w:t>
            </w:r>
            <w:r>
              <w:rPr>
                <w:sz w:val="20"/>
                <w:szCs w:val="20"/>
              </w:rPr>
              <w:t>, бария, марганца, стронция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массовойконцентрацииионов кальция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массовойконцентрацииионов магния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массовойконцентрацииионов натрия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массовойконцентрацииионов калия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массовойконцентрацииионов аммония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массовойконцентрацииионов лития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массовойконцентрацииионов бария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массовойконцентрацииионов марганца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массовойконцентрацииионов</w:t>
            </w:r>
            <w:r>
              <w:rPr>
                <w:sz w:val="20"/>
                <w:szCs w:val="20"/>
              </w:rPr>
              <w:t xml:space="preserve"> стронция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анионов: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нитрат, нитрит,хлорид,фторид, сульфат,фосфат- 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нитрат-ионов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нитрит-ионов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массовой концентрации хлорид-ионов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фторид-ионов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сульфат-ионов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концентрации фосфат-ионов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железа (суммарно)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сухого остатка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общей жесткости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ОпределениерН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цинка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меди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нефтепродуктов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бора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алюминия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фенола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селена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бериллия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молибдена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никеля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</w:rPr>
              <w:t>Стоимость исследований по показателям безопасности пищевой продукции</w:t>
            </w:r>
          </w:p>
        </w:tc>
      </w:tr>
      <w:tr w:rsidR="00B12F4F">
        <w:trPr>
          <w:gridAfter w:val="1"/>
          <w:wAfter w:w="1248" w:type="dxa"/>
          <w:trHeight w:val="283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Токсичные элементы</w:t>
            </w:r>
          </w:p>
        </w:tc>
      </w:tr>
      <w:tr w:rsidR="00B12F4F">
        <w:trPr>
          <w:gridAfter w:val="1"/>
          <w:wAfter w:w="1248" w:type="dxa"/>
          <w:trHeight w:val="454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токсичных элементов методом инверсионнойвольтамперометрии:</w:t>
            </w:r>
          </w:p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Кадмий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  <w:vAlign w:val="bottom"/>
          </w:tcPr>
          <w:p w:rsidR="00B12F4F" w:rsidRDefault="00B12F4F">
            <w:pPr>
              <w:jc w:val="center"/>
              <w:rPr>
                <w:sz w:val="20"/>
                <w:szCs w:val="20"/>
              </w:rPr>
            </w:pPr>
          </w:p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Свинец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Мышьяк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ртути на анализаторе ртути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олова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Микотоксины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Афла</w:t>
            </w:r>
            <w:r>
              <w:rPr>
                <w:sz w:val="20"/>
                <w:szCs w:val="20"/>
              </w:rPr>
              <w:t>токсин В1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Афлатоксин М1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Патулин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Зеараленон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Охратоксин 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Дезоксиниваленол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Пестициды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ДДТ и его метаболиты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ГХЦГ α,β,γ-изомеры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Гексахлорбензол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Гептахлор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r>
              <w:rPr>
                <w:sz w:val="20"/>
                <w:szCs w:val="20"/>
              </w:rPr>
              <w:t>2,4-Д кислота ,ее соли и эфиры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r>
              <w:rPr>
                <w:sz w:val="20"/>
                <w:szCs w:val="20"/>
              </w:rPr>
              <w:t>Альдрин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Полихлорированныебифенилы ПХБ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Бенз(а)пирен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Меламин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Гистамин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Оксиметилфурфурол (методом ВЭЖХ)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Нитрозамины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НДМА и НДЭА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Антибиотики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Левомицетинметодом ИФА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Тетрациклиновая группаметодом ИФА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Стрептомицин методом ИФА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Бацитрацинметодом ИФА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Пеницилин методом ИФА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Пищевые добавки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Консерванты (сорбиновая</w:t>
            </w:r>
            <w:r>
              <w:rPr>
                <w:sz w:val="20"/>
                <w:szCs w:val="20"/>
              </w:rPr>
              <w:t xml:space="preserve"> кислота и ее соли, бензойная кислота и ее соли) методом ВЭЖХ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Подсластители (аспартам, ацесульфам, сахарин)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Кофеин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noWrap/>
            <w:vAlign w:val="center"/>
          </w:tcPr>
          <w:p w:rsidR="00B12F4F" w:rsidRDefault="00DA50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Стоимость исследований физико-химических испытаний пищевой продукции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рганолептическое исследование (внешний вид, вкус, запах, консистенция, вид на разрезе, цвет, массовая доля составных частей)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</w:p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Органолептическое исследование (для яиц)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влаги и сухих веществ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содержания сухих веществ (рефрактометрический метод)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кислотности или щелочности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пористости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 доли сахара, редуцирующих веществ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массовой доли белка, белковых веществ, сырого протеина, азота.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жира (метод Сокслета)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жира (бутирометрическийм-д)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хлористого натрия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начинки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степени помола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набухаемости, намокаемости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золы, зольности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общей сернистой кислоты, диоксида серы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содержания этилового спирта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сохранности формы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сухих веществ перешедших в варочную воду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нитратов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нитрита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массовой доли крахмала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фосфора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остаточной активности кислой фосфатазы (проваренность)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окислителя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перекисного числа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кислотного числа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йодного числа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Анизидивное число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числа омыления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наличия аммиака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Масличность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r>
              <w:rPr>
                <w:sz w:val="20"/>
                <w:szCs w:val="20"/>
              </w:rPr>
              <w:t>МД олеиновой кислоты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</w:pPr>
            <w:r>
              <w:rPr>
                <w:sz w:val="20"/>
                <w:szCs w:val="20"/>
              </w:rPr>
              <w:t>650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цветности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неомыляемых веществ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не жировых примесей и отстоя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Холодный тест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в растительном масле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жирнокислотного состава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транс-изомеров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плотности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стойкости эмульсии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группы чистоты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индекса растворимости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количества и качества клейковины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стекловидности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числа падения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натуры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фузариозных зерен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степени декструкции крахмала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Белизна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Автолитическая активность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крепости и продолжительности растворения в воде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деценовых</w:t>
            </w:r>
            <w:r>
              <w:rPr>
                <w:sz w:val="20"/>
                <w:szCs w:val="20"/>
              </w:rPr>
              <w:t xml:space="preserve"> кислот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кофеина, танина методом ВЭЖХ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наличия мелочей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экстрактивных веществ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прозрачности и растворимости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массовой доли мякоти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наличия осадка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ОпределениерН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фосфорсодержащих примесей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посторонних включений, хруст от минеральной примеси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 доли металломагнитной примеси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пределение зараженности и поврежденности вредителями 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Зараженность вредителями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сорной и зерновой примеси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Загрязнения животного происхождения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примесей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механических примесей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посторонних включений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засоренности скорлупой и посторонними примесями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минеральных примесей (песок)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поврежденных ядер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наличия поврежденной наружной оболочки ядра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диоксида серы в сахаре йодометрическим методом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СОМО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соды в молоке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пищевой и энергетической ценности продукта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tabs>
                <w:tab w:val="left" w:pos="65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 проб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tabs>
                <w:tab w:val="left" w:pos="6521"/>
              </w:tabs>
              <w:rPr>
                <w:b/>
                <w:sz w:val="20"/>
                <w:szCs w:val="20"/>
              </w:rPr>
            </w:pPr>
            <w:r>
              <w:rPr>
                <w:rStyle w:val="af3"/>
                <w:rFonts w:eastAsia="Cambria"/>
                <w:sz w:val="20"/>
                <w:szCs w:val="20"/>
              </w:rPr>
              <w:t>Оформление документации (пищевой продукт)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tabs>
                <w:tab w:val="left" w:pos="6521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3"/>
                <w:rFonts w:eastAsia="Cambria"/>
                <w:sz w:val="20"/>
                <w:szCs w:val="20"/>
              </w:rPr>
              <w:t>Оформление документации (смывы с объектов внешней среды)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B12F4F">
        <w:trPr>
          <w:gridAfter w:val="1"/>
          <w:wAfter w:w="1248" w:type="dxa"/>
        </w:trPr>
        <w:tc>
          <w:tcPr>
            <w:tcW w:w="8046" w:type="dxa"/>
            <w:noWrap/>
          </w:tcPr>
          <w:p w:rsidR="00B12F4F" w:rsidRDefault="00DA50C3">
            <w:pPr>
              <w:tabs>
                <w:tab w:val="left" w:pos="6521"/>
              </w:tabs>
              <w:rPr>
                <w:b/>
                <w:sz w:val="20"/>
                <w:szCs w:val="20"/>
              </w:rPr>
            </w:pPr>
            <w:r>
              <w:rPr>
                <w:rStyle w:val="af3"/>
                <w:rFonts w:eastAsia="Cambria"/>
                <w:sz w:val="20"/>
                <w:szCs w:val="20"/>
              </w:rPr>
              <w:t>Транспортные расходы за пределы города до 20 км</w:t>
            </w:r>
          </w:p>
        </w:tc>
        <w:tc>
          <w:tcPr>
            <w:tcW w:w="1248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7" w:type="dxa"/>
            <w:noWrap/>
          </w:tcPr>
          <w:p w:rsidR="00B12F4F" w:rsidRDefault="00DA50C3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</w:tbl>
    <w:p w:rsidR="00B12F4F" w:rsidRDefault="00B12F4F">
      <w:pPr>
        <w:rPr>
          <w:sz w:val="22"/>
          <w:szCs w:val="22"/>
        </w:rPr>
      </w:pPr>
    </w:p>
    <w:p w:rsidR="00B12F4F" w:rsidRDefault="00DA50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Торгово-промышленная палата Воронежской области работает без НДС</w:t>
      </w:r>
    </w:p>
    <w:sectPr w:rsidR="00B12F4F" w:rsidSect="00B12F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C3" w:rsidRDefault="00DA50C3" w:rsidP="00B12F4F">
      <w:r>
        <w:separator/>
      </w:r>
    </w:p>
  </w:endnote>
  <w:endnote w:type="continuationSeparator" w:id="1">
    <w:p w:rsidR="00DA50C3" w:rsidRDefault="00DA50C3" w:rsidP="00B1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C3" w:rsidRDefault="00DA50C3">
      <w:r>
        <w:separator/>
      </w:r>
    </w:p>
  </w:footnote>
  <w:footnote w:type="continuationSeparator" w:id="1">
    <w:p w:rsidR="00DA50C3" w:rsidRDefault="00DA5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4F"/>
    <w:rsid w:val="00B12F4F"/>
    <w:rsid w:val="00DA50C3"/>
    <w:rsid w:val="00EC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12F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12F4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12F4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12F4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12F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12F4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12F4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12F4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12F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12F4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12F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12F4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12F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12F4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12F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12F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12F4F"/>
    <w:pPr>
      <w:ind w:left="720"/>
      <w:contextualSpacing/>
    </w:pPr>
  </w:style>
  <w:style w:type="paragraph" w:styleId="a4">
    <w:name w:val="No Spacing"/>
    <w:uiPriority w:val="1"/>
    <w:qFormat/>
    <w:rsid w:val="00B12F4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12F4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12F4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12F4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12F4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12F4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2F4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12F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12F4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12F4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12F4F"/>
  </w:style>
  <w:style w:type="paragraph" w:customStyle="1" w:styleId="Footer">
    <w:name w:val="Footer"/>
    <w:basedOn w:val="a"/>
    <w:link w:val="FooterChar"/>
    <w:uiPriority w:val="99"/>
    <w:unhideWhenUsed/>
    <w:rsid w:val="00B12F4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12F4F"/>
  </w:style>
  <w:style w:type="table" w:styleId="ab">
    <w:name w:val="Table Grid"/>
    <w:basedOn w:val="a1"/>
    <w:uiPriority w:val="59"/>
    <w:rsid w:val="00B12F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12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12F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B12F4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12F4F"/>
    <w:rPr>
      <w:sz w:val="18"/>
    </w:rPr>
  </w:style>
  <w:style w:type="character" w:styleId="ae">
    <w:name w:val="footnote reference"/>
    <w:basedOn w:val="a0"/>
    <w:uiPriority w:val="99"/>
    <w:unhideWhenUsed/>
    <w:rsid w:val="00B12F4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12F4F"/>
    <w:pPr>
      <w:spacing w:after="57"/>
    </w:pPr>
  </w:style>
  <w:style w:type="paragraph" w:styleId="21">
    <w:name w:val="toc 2"/>
    <w:basedOn w:val="a"/>
    <w:next w:val="a"/>
    <w:uiPriority w:val="39"/>
    <w:unhideWhenUsed/>
    <w:rsid w:val="00B12F4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12F4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12F4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12F4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12F4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12F4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12F4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12F4F"/>
    <w:pPr>
      <w:spacing w:after="57"/>
      <w:ind w:left="2268"/>
    </w:pPr>
  </w:style>
  <w:style w:type="paragraph" w:styleId="af">
    <w:name w:val="TOC Heading"/>
    <w:uiPriority w:val="39"/>
    <w:unhideWhenUsed/>
    <w:rsid w:val="00B12F4F"/>
  </w:style>
  <w:style w:type="paragraph" w:customStyle="1" w:styleId="Heading2">
    <w:name w:val="Heading 2"/>
    <w:basedOn w:val="a"/>
    <w:next w:val="a"/>
    <w:link w:val="22"/>
    <w:uiPriority w:val="9"/>
    <w:semiHidden/>
    <w:unhideWhenUsed/>
    <w:qFormat/>
    <w:rsid w:val="00B12F4F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0"/>
    <w:uiPriority w:val="99"/>
    <w:qFormat/>
    <w:rsid w:val="00B12F4F"/>
    <w:pPr>
      <w:keepNext/>
      <w:jc w:val="center"/>
      <w:outlineLvl w:val="2"/>
    </w:pPr>
    <w:rPr>
      <w:b/>
      <w:bCs/>
      <w:lang w:eastAsia="en-US"/>
    </w:rPr>
  </w:style>
  <w:style w:type="character" w:customStyle="1" w:styleId="30">
    <w:name w:val="Заголовок 3 Знак"/>
    <w:basedOn w:val="a0"/>
    <w:link w:val="Heading3"/>
    <w:uiPriority w:val="99"/>
    <w:rsid w:val="00B12F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rsid w:val="00B12F4F"/>
    <w:pPr>
      <w:jc w:val="both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1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12F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аголовок 2 Знак"/>
    <w:basedOn w:val="a0"/>
    <w:link w:val="Heading2"/>
    <w:uiPriority w:val="9"/>
    <w:semiHidden/>
    <w:rsid w:val="00B12F4F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B12F4F"/>
    <w:rPr>
      <w:color w:val="0000FF"/>
      <w:u w:val="single"/>
    </w:rPr>
  </w:style>
  <w:style w:type="character" w:styleId="af3">
    <w:name w:val="Strong"/>
    <w:basedOn w:val="a0"/>
    <w:uiPriority w:val="22"/>
    <w:qFormat/>
    <w:rsid w:val="00B12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v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2021-01-27T05:56:00Z</dcterms:created>
  <dcterms:modified xsi:type="dcterms:W3CDTF">2021-01-27T05:56:00Z</dcterms:modified>
</cp:coreProperties>
</file>